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3001" w14:textId="6450D34F" w:rsidR="006B53C9" w:rsidRDefault="006B53C9" w:rsidP="006B53C9">
      <w:pPr>
        <w:pStyle w:val="CRCoverPage"/>
        <w:tabs>
          <w:tab w:val="right" w:pos="9639"/>
        </w:tabs>
        <w:spacing w:after="0"/>
        <w:rPr>
          <w:rFonts w:eastAsiaTheme="minorEastAsia"/>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r>
      <w:r w:rsidR="00C7406F" w:rsidRPr="00C7406F">
        <w:rPr>
          <w:b/>
          <w:i/>
          <w:noProof/>
          <w:sz w:val="28"/>
        </w:rPr>
        <w:t>RP-240359</w:t>
      </w:r>
    </w:p>
    <w:p w14:paraId="198589AE" w14:textId="2E56E415" w:rsidR="006B53C9" w:rsidRDefault="006B53C9" w:rsidP="006B53C9">
      <w:pPr>
        <w:pStyle w:val="CRCoverPage"/>
        <w:outlineLvl w:val="0"/>
        <w:rPr>
          <w:b/>
          <w:noProof/>
          <w:sz w:val="24"/>
        </w:rPr>
      </w:pPr>
      <w:r>
        <w:rPr>
          <w:b/>
          <w:noProof/>
          <w:sz w:val="24"/>
        </w:rPr>
        <w:t>Mar 2024</w:t>
      </w:r>
      <w:bookmarkEnd w:id="0"/>
      <w:r w:rsidR="00C7406F" w:rsidRPr="00C7406F">
        <w:rPr>
          <w:b/>
          <w:noProof/>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3454072" w:rsidR="00D45B2F" w:rsidRPr="00137DF6" w:rsidRDefault="00D45B2F" w:rsidP="00D45B2F">
      <w:pPr>
        <w:tabs>
          <w:tab w:val="left" w:pos="567"/>
        </w:tabs>
        <w:rPr>
          <w:rFonts w:ascii="Arial" w:hAnsi="Arial" w:cs="Arial" w:hint="eastAsia"/>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C7406F">
        <w:rPr>
          <w:rFonts w:ascii="Arial" w:hAnsi="Arial" w:cs="Arial" w:hint="eastAsia"/>
        </w:rPr>
        <w:t>13</w:t>
      </w:r>
      <w:r w:rsidR="006B53C9">
        <w:rPr>
          <w:rFonts w:ascii="Arial" w:hAnsi="Arial" w:cs="Arial"/>
        </w:rPr>
        <w:t>.</w:t>
      </w:r>
      <w:r w:rsidR="00C7406F">
        <w:rPr>
          <w:rFonts w:ascii="Arial" w:hAnsi="Arial" w:cs="Arial" w:hint="eastAsia"/>
        </w:rPr>
        <w:t>4</w:t>
      </w:r>
      <w:r w:rsidR="006B53C9">
        <w:rPr>
          <w:rFonts w:ascii="Arial" w:hAnsi="Arial" w:cs="Arial"/>
        </w:rPr>
        <w:t>.</w:t>
      </w:r>
      <w:r w:rsidR="00C7406F">
        <w:rPr>
          <w:rFonts w:ascii="Arial" w:hAnsi="Arial" w:cs="Arial" w:hint="eastAsia"/>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7D1521"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2FE2EC2" w:rsidR="00871653" w:rsidRPr="006A7BCB" w:rsidRDefault="005D3214"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40</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7D1521"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hint="eastAsia"/>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7D1521" w:rsidRDefault="00140C23" w:rsidP="00140C23">
      <w:pPr>
        <w:snapToGrid w:val="0"/>
        <w:ind w:firstLine="200"/>
        <w:rPr>
          <w:rFonts w:ascii="Arial" w:eastAsia="Yu Mincho" w:hAnsi="Arial" w:cs="Arial"/>
          <w:b/>
          <w:bCs/>
          <w:highlight w:val="yellow"/>
          <w:lang w:eastAsia="ja-JP"/>
        </w:rPr>
      </w:pPr>
      <w:r w:rsidRPr="007D1521">
        <w:rPr>
          <w:rFonts w:ascii="Arial" w:eastAsia="Yu Mincho" w:hAnsi="Arial" w:cs="Arial"/>
          <w:b/>
          <w:bCs/>
          <w:highlight w:val="yellow"/>
          <w:lang w:eastAsia="ja-JP"/>
        </w:rPr>
        <w:t>RAN5#10</w:t>
      </w:r>
      <w:r w:rsidR="004343F0" w:rsidRPr="007D1521">
        <w:rPr>
          <w:rFonts w:ascii="Arial" w:eastAsia="Yu Mincho" w:hAnsi="Arial" w:cs="Arial"/>
          <w:b/>
          <w:bCs/>
          <w:highlight w:val="yellow"/>
          <w:lang w:eastAsia="ja-JP"/>
        </w:rPr>
        <w:t>2</w:t>
      </w:r>
    </w:p>
    <w:p w14:paraId="0E3615EB" w14:textId="71DD9F6C" w:rsidR="00140C23" w:rsidRPr="007D1521"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R5-240330</w:t>
      </w:r>
      <w:r w:rsidR="00140C23" w:rsidRPr="007D1521">
        <w:rPr>
          <w:rFonts w:ascii="Arial" w:eastAsia="Yu Mincho" w:hAnsi="Arial" w:cs="Arial" w:hint="eastAsia"/>
          <w:kern w:val="2"/>
          <w:highlight w:val="yellow"/>
          <w:lang w:val="en-US" w:eastAsia="ja-JP"/>
        </w:rPr>
        <w:t>,</w:t>
      </w:r>
      <w:r w:rsidR="00140C23" w:rsidRPr="007D1521">
        <w:rPr>
          <w:rFonts w:ascii="Arial" w:eastAsia="Yu Mincho" w:hAnsi="Arial" w:cs="Arial"/>
          <w:kern w:val="2"/>
          <w:highlight w:val="yellow"/>
          <w:lang w:val="en-US" w:eastAsia="ja-JP"/>
        </w:rPr>
        <w:t xml:space="preserve"> </w:t>
      </w:r>
      <w:r w:rsidRPr="007D1521">
        <w:rPr>
          <w:rFonts w:ascii="Arial" w:eastAsia="Yu Mincho" w:hAnsi="Arial" w:cs="Arial"/>
          <w:kern w:val="2"/>
          <w:highlight w:val="yellow"/>
          <w:lang w:val="en-US" w:eastAsia="ja-JP"/>
        </w:rPr>
        <w:t>Addition of RF baseline implementation capabilities for new PC2 EN-DC combos within FR1</w:t>
      </w:r>
      <w:r w:rsidR="00140C23" w:rsidRPr="007D1521">
        <w:rPr>
          <w:rFonts w:ascii="Arial" w:eastAsia="Yu Mincho" w:hAnsi="Arial" w:cs="Arial"/>
          <w:kern w:val="2"/>
          <w:highlight w:val="yellow"/>
          <w:lang w:val="en-US" w:eastAsia="ja-JP"/>
        </w:rPr>
        <w:t xml:space="preserve">, </w:t>
      </w:r>
      <w:r w:rsidR="006945A8" w:rsidRPr="007D1521">
        <w:rPr>
          <w:rFonts w:ascii="Arial" w:eastAsia="Yu Mincho" w:hAnsi="Arial" w:cs="Arial"/>
          <w:kern w:val="2"/>
          <w:highlight w:val="yellow"/>
          <w:lang w:val="en-US" w:eastAsia="ja-JP"/>
        </w:rPr>
        <w:t>KDDI Corporation</w:t>
      </w:r>
      <w:r w:rsidR="00140C23" w:rsidRPr="007D1521">
        <w:rPr>
          <w:rFonts w:ascii="Arial" w:eastAsia="Yu Mincho" w:hAnsi="Arial" w:cs="Arial"/>
          <w:kern w:val="2"/>
          <w:highlight w:val="yellow"/>
          <w:lang w:val="en-US" w:eastAsia="ja-JP"/>
        </w:rPr>
        <w:t>.</w:t>
      </w:r>
    </w:p>
    <w:p w14:paraId="6DF73CF3" w14:textId="552809AC" w:rsidR="006945A8" w:rsidRPr="007D1521"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 xml:space="preserve">R5-241714, </w:t>
      </w:r>
      <w:r w:rsidR="003F15B0" w:rsidRPr="007D1521">
        <w:rPr>
          <w:rFonts w:ascii="Arial" w:eastAsia="Yu Mincho" w:hAnsi="Arial" w:cs="Arial"/>
          <w:kern w:val="2"/>
          <w:highlight w:val="yellow"/>
          <w:lang w:val="en-US" w:eastAsia="ja-JP"/>
        </w:rPr>
        <w:t>Update for additional band configurations with PC2 UL, Verizon Spain</w:t>
      </w:r>
    </w:p>
    <w:p w14:paraId="416BB37F" w14:textId="77777777" w:rsidR="00140C23" w:rsidRPr="007D1521" w:rsidRDefault="00140C23" w:rsidP="00140C23">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2E00A0F3" w14:textId="39FA633F" w:rsidR="005A02DF" w:rsidRPr="007D1521"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 xml:space="preserve">R5-240894, </w:t>
      </w:r>
      <w:r w:rsidR="00882C84" w:rsidRPr="007D1521">
        <w:rPr>
          <w:rFonts w:ascii="Arial" w:eastAsia="Yu Mincho" w:hAnsi="Arial" w:cs="Arial"/>
          <w:kern w:val="2"/>
          <w:highlight w:val="yellow"/>
          <w:lang w:val="en-US" w:eastAsia="ja-JP"/>
        </w:rPr>
        <w:t>Addition of PC2 max power requirements for bands CA_n77(2A) and CA_n14A-n77A,</w:t>
      </w:r>
      <w:r w:rsidR="000F4A35" w:rsidRPr="007D1521">
        <w:rPr>
          <w:highlight w:val="yellow"/>
        </w:rPr>
        <w:t xml:space="preserve"> </w:t>
      </w:r>
      <w:r w:rsidR="000F4A35" w:rsidRPr="007D1521">
        <w:rPr>
          <w:rFonts w:ascii="Arial" w:eastAsia="Yu Mincho" w:hAnsi="Arial" w:cs="Arial"/>
          <w:kern w:val="2"/>
          <w:highlight w:val="yellow"/>
          <w:lang w:val="en-US" w:eastAsia="ja-JP"/>
        </w:rPr>
        <w:t>WE Certification Oy, AT&amp;T</w:t>
      </w:r>
    </w:p>
    <w:p w14:paraId="692B6158" w14:textId="531F2D29" w:rsidR="005A02DF" w:rsidRPr="007D1521"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R5-241746</w:t>
      </w:r>
      <w:r w:rsidR="00882C84" w:rsidRPr="007D1521">
        <w:rPr>
          <w:rFonts w:ascii="Arial" w:eastAsia="Yu Mincho" w:hAnsi="Arial" w:cs="Arial"/>
          <w:kern w:val="2"/>
          <w:highlight w:val="yellow"/>
          <w:lang w:val="en-US" w:eastAsia="ja-JP"/>
        </w:rPr>
        <w:t>, Addition of band CA_n14A-n77A PC2 reference sensitivity test,</w:t>
      </w:r>
      <w:r w:rsidR="000F4A35" w:rsidRPr="007D1521">
        <w:rPr>
          <w:highlight w:val="yellow"/>
        </w:rPr>
        <w:t xml:space="preserve"> </w:t>
      </w:r>
      <w:r w:rsidR="000F4A35" w:rsidRPr="007D1521">
        <w:rPr>
          <w:rFonts w:ascii="Arial" w:eastAsia="Yu Mincho" w:hAnsi="Arial" w:cs="Arial"/>
          <w:kern w:val="2"/>
          <w:highlight w:val="yellow"/>
          <w:lang w:val="en-US" w:eastAsia="ja-JP"/>
        </w:rPr>
        <w:t>WE Certification Oy, AT&amp;T</w:t>
      </w:r>
    </w:p>
    <w:p w14:paraId="21FB8C0D" w14:textId="62616A40" w:rsidR="00E17270" w:rsidRPr="007D1521"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highlight w:val="yellow"/>
          <w:lang w:val="en-US"/>
        </w:rPr>
      </w:pPr>
      <w:r w:rsidRPr="007D1521">
        <w:rPr>
          <w:rFonts w:ascii="Arial" w:eastAsia="Yu Mincho" w:hAnsi="Arial" w:cs="Arial"/>
          <w:kern w:val="2"/>
          <w:highlight w:val="yellow"/>
          <w:lang w:val="en-US" w:eastAsia="ja-JP"/>
        </w:rPr>
        <w:t>R5-241747</w:t>
      </w:r>
      <w:r w:rsidR="00882C84" w:rsidRPr="007D1521">
        <w:rPr>
          <w:rFonts w:ascii="Arial" w:eastAsia="Yu Mincho" w:hAnsi="Arial" w:cs="Arial"/>
          <w:kern w:val="2"/>
          <w:highlight w:val="yellow"/>
          <w:lang w:val="en-US" w:eastAsia="ja-JP"/>
        </w:rPr>
        <w:t>,</w:t>
      </w:r>
      <w:r w:rsidR="00882C84" w:rsidRPr="007D1521">
        <w:rPr>
          <w:highlight w:val="yellow"/>
        </w:rPr>
        <w:t xml:space="preserve"> </w:t>
      </w:r>
      <w:r w:rsidR="00882C84" w:rsidRPr="007D1521">
        <w:rPr>
          <w:rFonts w:ascii="Arial" w:eastAsia="Yu Mincho" w:hAnsi="Arial" w:cs="Arial"/>
          <w:kern w:val="2"/>
          <w:highlight w:val="yellow"/>
          <w:lang w:val="en-US" w:eastAsia="ja-JP"/>
        </w:rPr>
        <w:t>Addition of CA_n14A-n77A PC2 and CA_n77(2A) PC2 to Ch 5,</w:t>
      </w:r>
      <w:r w:rsidR="000F4A35" w:rsidRPr="007D1521">
        <w:rPr>
          <w:highlight w:val="yellow"/>
        </w:rPr>
        <w:t xml:space="preserve"> </w:t>
      </w:r>
      <w:r w:rsidR="000F4A35" w:rsidRPr="007D1521">
        <w:rPr>
          <w:rFonts w:ascii="Arial" w:eastAsia="Yu Mincho" w:hAnsi="Arial" w:cs="Arial"/>
          <w:kern w:val="2"/>
          <w:highlight w:val="yellow"/>
          <w:lang w:val="en-US" w:eastAsia="ja-JP"/>
        </w:rPr>
        <w:t>WE Certification Oy, AT&amp;T</w:t>
      </w:r>
    </w:p>
    <w:p w14:paraId="2BFB415A" w14:textId="77777777" w:rsidR="008520B6" w:rsidRPr="007D1521"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18CDCA26" w14:textId="0494E0B3" w:rsidR="00B973D9" w:rsidRPr="007D1521"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R5-240331,</w:t>
      </w:r>
      <w:r w:rsidR="00410C78" w:rsidRPr="007D1521">
        <w:rPr>
          <w:highlight w:val="yellow"/>
        </w:rPr>
        <w:t xml:space="preserve"> </w:t>
      </w:r>
      <w:r w:rsidR="00410C78" w:rsidRPr="007D1521">
        <w:rPr>
          <w:rFonts w:ascii="Arial" w:eastAsia="Yu Mincho" w:hAnsi="Arial" w:cs="Arial"/>
          <w:kern w:val="2"/>
          <w:highlight w:val="yellow"/>
          <w:lang w:val="en-US" w:eastAsia="ja-JP"/>
        </w:rPr>
        <w:t>Addition of UE maximum output power for new PC2 EN-DC combos within FR1</w:t>
      </w:r>
      <w:r w:rsidR="00B973D9" w:rsidRPr="007D1521">
        <w:rPr>
          <w:rFonts w:ascii="Arial" w:eastAsia="Yu Mincho" w:hAnsi="Arial" w:cs="Arial"/>
          <w:kern w:val="2"/>
          <w:highlight w:val="yellow"/>
          <w:lang w:val="en-US" w:eastAsia="ja-JP"/>
        </w:rPr>
        <w:t>,</w:t>
      </w:r>
      <w:r w:rsidR="00B973D9" w:rsidRPr="007D1521">
        <w:rPr>
          <w:highlight w:val="yellow"/>
        </w:rPr>
        <w:t xml:space="preserve"> </w:t>
      </w:r>
      <w:r w:rsidR="00B973D9" w:rsidRPr="007D1521">
        <w:rPr>
          <w:rFonts w:ascii="Arial" w:eastAsia="Yu Mincho" w:hAnsi="Arial" w:cs="Arial"/>
          <w:kern w:val="2"/>
          <w:highlight w:val="yellow"/>
          <w:lang w:val="en-US" w:eastAsia="ja-JP"/>
        </w:rPr>
        <w:t>KDDI Corporation</w:t>
      </w:r>
    </w:p>
    <w:p w14:paraId="02CD9C15" w14:textId="74D64E47" w:rsidR="00B973D9" w:rsidRPr="007D1521"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R5-240885</w:t>
      </w:r>
      <w:r w:rsidR="00410C78" w:rsidRPr="007D1521">
        <w:rPr>
          <w:rFonts w:ascii="Arial" w:eastAsia="Yu Mincho" w:hAnsi="Arial" w:cs="Arial"/>
          <w:kern w:val="2"/>
          <w:highlight w:val="yellow"/>
          <w:lang w:val="en-US" w:eastAsia="ja-JP"/>
        </w:rPr>
        <w:t>, Addition of test requirements for EN-DC PC2 combos DC_12A_n77A, DC_14A_n77A and DC_30A_n77A max power test</w:t>
      </w:r>
      <w:r w:rsidR="00B973D9" w:rsidRPr="007D1521">
        <w:rPr>
          <w:rFonts w:ascii="Arial" w:eastAsia="Yu Mincho" w:hAnsi="Arial" w:cs="Arial"/>
          <w:kern w:val="2"/>
          <w:highlight w:val="yellow"/>
          <w:lang w:val="en-US" w:eastAsia="ja-JP"/>
        </w:rPr>
        <w:t>, WE Certification, AT&amp;T</w:t>
      </w:r>
    </w:p>
    <w:p w14:paraId="5C4D2A7B" w14:textId="3C8C8771" w:rsidR="00B973D9" w:rsidRPr="007D1521"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R5-241904</w:t>
      </w:r>
      <w:r w:rsidR="00410C78" w:rsidRPr="007D1521">
        <w:rPr>
          <w:rFonts w:ascii="Arial" w:eastAsia="Yu Mincho" w:hAnsi="Arial" w:cs="Arial"/>
          <w:kern w:val="2"/>
          <w:highlight w:val="yellow"/>
          <w:lang w:val="en-US" w:eastAsia="ja-JP"/>
        </w:rPr>
        <w:t>, Addition of reference sensitivity for new PC2 EN-DC combos within FR1</w:t>
      </w:r>
      <w:r w:rsidR="00B973D9" w:rsidRPr="007D1521">
        <w:rPr>
          <w:rFonts w:ascii="Arial" w:eastAsia="Yu Mincho" w:hAnsi="Arial" w:cs="Arial"/>
          <w:kern w:val="2"/>
          <w:highlight w:val="yellow"/>
          <w:lang w:val="en-US" w:eastAsia="ja-JP"/>
        </w:rPr>
        <w:t>, KDDI Corporation</w:t>
      </w:r>
    </w:p>
    <w:p w14:paraId="56D07C6B" w14:textId="5580DC39" w:rsidR="00B973D9" w:rsidRPr="007D1521"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R5-241062</w:t>
      </w:r>
      <w:r w:rsidR="00410C78" w:rsidRPr="007D1521">
        <w:rPr>
          <w:rFonts w:ascii="Arial" w:eastAsia="Yu Mincho" w:hAnsi="Arial" w:cs="Arial"/>
          <w:kern w:val="2"/>
          <w:highlight w:val="yellow"/>
          <w:lang w:val="en-US" w:eastAsia="ja-JP"/>
        </w:rPr>
        <w:t>, Addition and correction of REFSENS for 2CC EN-DC in PC2</w:t>
      </w:r>
      <w:r w:rsidR="00B973D9" w:rsidRPr="007D1521">
        <w:rPr>
          <w:rFonts w:ascii="Arial" w:eastAsia="Yu Mincho" w:hAnsi="Arial" w:cs="Arial"/>
          <w:kern w:val="2"/>
          <w:highlight w:val="yellow"/>
          <w:lang w:val="en-US" w:eastAsia="ja-JP"/>
        </w:rPr>
        <w:t>, NTT DOCOMO INC.</w:t>
      </w:r>
    </w:p>
    <w:p w14:paraId="1D3E6D2E" w14:textId="31EBE3DF" w:rsidR="00D04287" w:rsidRPr="007D1521" w:rsidRDefault="00946081" w:rsidP="00C7406F">
      <w:pPr>
        <w:widowControl w:val="0"/>
        <w:numPr>
          <w:ilvl w:val="0"/>
          <w:numId w:val="25"/>
        </w:numPr>
        <w:overflowPunct/>
        <w:autoSpaceDE/>
        <w:adjustRightInd/>
        <w:snapToGrid w:val="0"/>
        <w:spacing w:after="0"/>
        <w:textAlignment w:val="auto"/>
        <w:rPr>
          <w:rFonts w:ascii="Arial" w:eastAsia="Yu Mincho" w:hAnsi="Arial" w:cs="Arial" w:hint="eastAsia"/>
          <w:kern w:val="2"/>
          <w:highlight w:val="yellow"/>
          <w:lang w:val="en-US" w:eastAsia="ja-JP"/>
        </w:rPr>
      </w:pPr>
      <w:r w:rsidRPr="007D1521">
        <w:rPr>
          <w:rFonts w:ascii="Arial" w:eastAsia="Yu Mincho" w:hAnsi="Arial" w:cs="Arial"/>
          <w:kern w:val="2"/>
          <w:highlight w:val="yellow"/>
          <w:lang w:val="en-US" w:eastAsia="ja-JP"/>
        </w:rPr>
        <w:t>R5-240884</w:t>
      </w:r>
      <w:r w:rsidR="00410C78" w:rsidRPr="007D1521">
        <w:rPr>
          <w:rFonts w:ascii="Arial" w:eastAsia="Yu Mincho" w:hAnsi="Arial" w:cs="Arial"/>
          <w:kern w:val="2"/>
          <w:highlight w:val="yellow"/>
          <w:lang w:val="en-US" w:eastAsia="ja-JP"/>
        </w:rPr>
        <w:t>, Addition of many EN-DC PC2 combos to Ch 5</w:t>
      </w:r>
      <w:r w:rsidR="00B973D9" w:rsidRPr="007D1521">
        <w:rPr>
          <w:rFonts w:ascii="Arial" w:eastAsia="Yu Mincho" w:hAnsi="Arial" w:cs="Arial"/>
          <w:kern w:val="2"/>
          <w:highlight w:val="yellow"/>
          <w:lang w:val="en-US" w:eastAsia="ja-JP"/>
        </w:rPr>
        <w:t>, WE Certification Oy, AT&amp;T</w:t>
      </w:r>
    </w:p>
    <w:p w14:paraId="7B506987" w14:textId="77777777" w:rsidR="002C6187" w:rsidRPr="007D1521"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 xml:space="preserve">R5-240674, </w:t>
      </w:r>
      <w:r w:rsidR="0097342C" w:rsidRPr="007D1521">
        <w:rPr>
          <w:rFonts w:ascii="Arial" w:eastAsia="Yu Mincho" w:hAnsi="Arial" w:cs="Arial"/>
          <w:kern w:val="2"/>
          <w:highlight w:val="yellow"/>
          <w:lang w:val="en-US" w:eastAsia="ja-JP"/>
        </w:rPr>
        <w:t>Addition of reference sensitivity TP analysis for new PC2 EN-DC combos within FR1,</w:t>
      </w:r>
      <w:r w:rsidR="002C6187" w:rsidRPr="007D1521">
        <w:rPr>
          <w:rFonts w:ascii="Arial" w:eastAsia="Yu Mincho" w:hAnsi="Arial" w:cs="Arial"/>
          <w:kern w:val="2"/>
          <w:highlight w:val="yellow"/>
          <w:lang w:val="en-US" w:eastAsia="ja-JP"/>
        </w:rPr>
        <w:t xml:space="preserve"> KDDI Corporation</w:t>
      </w:r>
    </w:p>
    <w:p w14:paraId="2C076DC2" w14:textId="32F38535" w:rsidR="00576BE6" w:rsidRPr="007D1521"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lastRenderedPageBreak/>
        <w:t xml:space="preserve">R5-241748, </w:t>
      </w:r>
      <w:r w:rsidR="0097342C" w:rsidRPr="007D1521">
        <w:rPr>
          <w:rFonts w:ascii="Arial" w:eastAsia="Yu Mincho" w:hAnsi="Arial" w:cs="Arial"/>
          <w:kern w:val="2"/>
          <w:highlight w:val="yellow"/>
          <w:lang w:val="en-US" w:eastAsia="ja-JP"/>
        </w:rPr>
        <w:t xml:space="preserve">Update reference sensitivity test cases for additional band configurations with PC2 UL, </w:t>
      </w:r>
      <w:r w:rsidR="002C6187" w:rsidRPr="007D1521">
        <w:rPr>
          <w:rFonts w:ascii="Arial" w:eastAsia="Yu Mincho" w:hAnsi="Arial" w:cs="Arial"/>
          <w:kern w:val="2"/>
          <w:highlight w:val="yellow"/>
          <w:lang w:val="en-US" w:eastAsia="ja-JP"/>
        </w:rPr>
        <w:t>Verizon Spain</w:t>
      </w:r>
    </w:p>
    <w:p w14:paraId="1A6AB47E" w14:textId="77777777" w:rsidR="002C6187" w:rsidRPr="007D1521"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 xml:space="preserve">R5-241749, </w:t>
      </w:r>
      <w:r w:rsidR="0097342C" w:rsidRPr="007D1521">
        <w:rPr>
          <w:rFonts w:ascii="Arial" w:eastAsia="Yu Mincho" w:hAnsi="Arial" w:cs="Arial"/>
          <w:kern w:val="2"/>
          <w:highlight w:val="yellow"/>
          <w:lang w:val="en-US" w:eastAsia="ja-JP"/>
        </w:rPr>
        <w:t xml:space="preserve">Addition of REFSENS TP analysis for DC_19A_n78A and DC_19A_n77A in PC2, </w:t>
      </w:r>
      <w:r w:rsidR="002C6187" w:rsidRPr="007D1521">
        <w:rPr>
          <w:rFonts w:ascii="Arial" w:eastAsia="Yu Mincho" w:hAnsi="Arial" w:cs="Arial"/>
          <w:kern w:val="2"/>
          <w:highlight w:val="yellow"/>
          <w:lang w:val="en-US" w:eastAsia="ja-JP"/>
        </w:rPr>
        <w:t>NTT DOCOMO, INC.</w:t>
      </w:r>
    </w:p>
    <w:p w14:paraId="0FEBDE75" w14:textId="77777777" w:rsidR="002C6187" w:rsidRPr="007D1521"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7D1521">
        <w:rPr>
          <w:rFonts w:ascii="Arial" w:eastAsia="Yu Mincho" w:hAnsi="Arial" w:cs="Arial"/>
          <w:kern w:val="2"/>
          <w:highlight w:val="yellow"/>
          <w:lang w:val="en-US" w:eastAsia="ja-JP"/>
        </w:rPr>
        <w:t xml:space="preserve">R5-241750, </w:t>
      </w:r>
      <w:r w:rsidR="0097342C" w:rsidRPr="007D1521">
        <w:rPr>
          <w:rFonts w:ascii="Arial" w:eastAsia="Yu Mincho" w:hAnsi="Arial" w:cs="Arial"/>
          <w:kern w:val="2"/>
          <w:highlight w:val="yellow"/>
          <w:lang w:val="en-US" w:eastAsia="ja-JP"/>
        </w:rPr>
        <w:t xml:space="preserve">Addition of REFSENS TP analysis for 3CC EN-DC for n78 and n79 in PC2, </w:t>
      </w:r>
      <w:r w:rsidR="002C6187" w:rsidRPr="007D1521">
        <w:rPr>
          <w:rFonts w:ascii="Arial" w:eastAsia="Yu Mincho" w:hAnsi="Arial" w:cs="Arial"/>
          <w:kern w:val="2"/>
          <w:highlight w:val="yellow"/>
          <w:lang w:val="en-US" w:eastAsia="ja-JP"/>
        </w:rPr>
        <w:t>NTT DOCOMO, INC.</w:t>
      </w:r>
    </w:p>
    <w:p w14:paraId="322D462C" w14:textId="66C1F3F6" w:rsidR="0097342C" w:rsidRPr="00576BE6" w:rsidRDefault="0097342C" w:rsidP="002C6187">
      <w:pPr>
        <w:widowControl w:val="0"/>
        <w:overflowPunct/>
        <w:autoSpaceDE/>
        <w:adjustRightInd/>
        <w:snapToGrid w:val="0"/>
        <w:spacing w:after="0"/>
        <w:ind w:left="425"/>
        <w:textAlignment w:val="auto"/>
        <w:rPr>
          <w:rFonts w:ascii="Arial" w:eastAsia="Yu Mincho" w:hAnsi="Arial" w:cs="Arial"/>
          <w:kern w:val="2"/>
          <w:lang w:val="en-US" w:eastAsia="ja-JP"/>
        </w:rPr>
      </w:pPr>
    </w:p>
    <w:p w14:paraId="3EF788EA" w14:textId="0DE9DFE7" w:rsidR="00576BE6" w:rsidRPr="0057693A" w:rsidRDefault="00576BE6" w:rsidP="0097342C">
      <w:pPr>
        <w:widowControl w:val="0"/>
        <w:overflowPunct/>
        <w:autoSpaceDE/>
        <w:adjustRightInd/>
        <w:snapToGrid w:val="0"/>
        <w:spacing w:after="0"/>
        <w:textAlignment w:val="auto"/>
        <w:rPr>
          <w:rFonts w:ascii="Arial" w:eastAsia="Yu Mincho" w:hAnsi="Arial" w:cs="Arial"/>
          <w:kern w:val="2"/>
          <w:lang w:val="en-US" w:eastAsia="ja-JP"/>
        </w:rPr>
      </w:pPr>
    </w:p>
    <w:p w14:paraId="25F5039E" w14:textId="77777777" w:rsidR="006A524E" w:rsidRPr="00576BE6"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878D" w14:textId="77777777" w:rsidR="00790F18" w:rsidRDefault="00790F18">
      <w:r>
        <w:separator/>
      </w:r>
    </w:p>
  </w:endnote>
  <w:endnote w:type="continuationSeparator" w:id="0">
    <w:p w14:paraId="1015F5A3" w14:textId="77777777" w:rsidR="00790F18" w:rsidRDefault="0079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AF43C" w14:textId="77777777" w:rsidR="00790F18" w:rsidRDefault="00790F18">
      <w:r>
        <w:separator/>
      </w:r>
    </w:p>
  </w:footnote>
  <w:footnote w:type="continuationSeparator" w:id="0">
    <w:p w14:paraId="04CC1340" w14:textId="77777777" w:rsidR="00790F18" w:rsidRDefault="0079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5"/>
  </w:num>
  <w:num w:numId="2" w16cid:durableId="732851116">
    <w:abstractNumId w:val="4"/>
  </w:num>
  <w:num w:numId="3" w16cid:durableId="1761755675">
    <w:abstractNumId w:val="40"/>
  </w:num>
  <w:num w:numId="4" w16cid:durableId="331765574">
    <w:abstractNumId w:val="32"/>
  </w:num>
  <w:num w:numId="5" w16cid:durableId="38360902">
    <w:abstractNumId w:val="14"/>
  </w:num>
  <w:num w:numId="6" w16cid:durableId="2081169420">
    <w:abstractNumId w:val="41"/>
  </w:num>
  <w:num w:numId="7" w16cid:durableId="214659585">
    <w:abstractNumId w:val="5"/>
  </w:num>
  <w:num w:numId="8" w16cid:durableId="1031420046">
    <w:abstractNumId w:val="13"/>
  </w:num>
  <w:num w:numId="9" w16cid:durableId="354575402">
    <w:abstractNumId w:val="28"/>
  </w:num>
  <w:num w:numId="10" w16cid:durableId="1204319301">
    <w:abstractNumId w:val="42"/>
  </w:num>
  <w:num w:numId="11" w16cid:durableId="1222598685">
    <w:abstractNumId w:val="29"/>
  </w:num>
  <w:num w:numId="12" w16cid:durableId="122160667">
    <w:abstractNumId w:val="23"/>
  </w:num>
  <w:num w:numId="13" w16cid:durableId="1087075916">
    <w:abstractNumId w:val="39"/>
  </w:num>
  <w:num w:numId="14" w16cid:durableId="1418789591">
    <w:abstractNumId w:val="9"/>
  </w:num>
  <w:num w:numId="15" w16cid:durableId="1830748318">
    <w:abstractNumId w:val="19"/>
  </w:num>
  <w:num w:numId="16" w16cid:durableId="1861503895">
    <w:abstractNumId w:val="7"/>
  </w:num>
  <w:num w:numId="17" w16cid:durableId="460733168">
    <w:abstractNumId w:val="18"/>
  </w:num>
  <w:num w:numId="18" w16cid:durableId="1540240504">
    <w:abstractNumId w:val="12"/>
  </w:num>
  <w:num w:numId="19" w16cid:durableId="272715863">
    <w:abstractNumId w:val="22"/>
  </w:num>
  <w:num w:numId="20" w16cid:durableId="1851796695">
    <w:abstractNumId w:val="24"/>
  </w:num>
  <w:num w:numId="21" w16cid:durableId="846823324">
    <w:abstractNumId w:val="6"/>
  </w:num>
  <w:num w:numId="22" w16cid:durableId="1269585969">
    <w:abstractNumId w:val="8"/>
  </w:num>
  <w:num w:numId="23" w16cid:durableId="1503424657">
    <w:abstractNumId w:val="16"/>
  </w:num>
  <w:num w:numId="24" w16cid:durableId="1835486111">
    <w:abstractNumId w:val="11"/>
  </w:num>
  <w:num w:numId="25" w16cid:durableId="560869356">
    <w:abstractNumId w:val="31"/>
  </w:num>
  <w:num w:numId="26" w16cid:durableId="807161880">
    <w:abstractNumId w:val="38"/>
  </w:num>
  <w:num w:numId="27" w16cid:durableId="1850244703">
    <w:abstractNumId w:val="0"/>
  </w:num>
  <w:num w:numId="28" w16cid:durableId="1455170033">
    <w:abstractNumId w:val="26"/>
  </w:num>
  <w:num w:numId="29" w16cid:durableId="43876261">
    <w:abstractNumId w:val="25"/>
  </w:num>
  <w:num w:numId="30" w16cid:durableId="1734768477">
    <w:abstractNumId w:val="1"/>
  </w:num>
  <w:num w:numId="31" w16cid:durableId="1511263141">
    <w:abstractNumId w:val="21"/>
  </w:num>
  <w:num w:numId="32" w16cid:durableId="381834118">
    <w:abstractNumId w:val="17"/>
  </w:num>
  <w:num w:numId="33" w16cid:durableId="1915578276">
    <w:abstractNumId w:val="33"/>
  </w:num>
  <w:num w:numId="34" w16cid:durableId="1204751761">
    <w:abstractNumId w:val="34"/>
  </w:num>
  <w:num w:numId="35" w16cid:durableId="1946499322">
    <w:abstractNumId w:val="3"/>
  </w:num>
  <w:num w:numId="36" w16cid:durableId="564948539">
    <w:abstractNumId w:val="31"/>
    <w:lvlOverride w:ilvl="0">
      <w:startOverride w:val="1"/>
    </w:lvlOverride>
  </w:num>
  <w:num w:numId="37" w16cid:durableId="1407649707">
    <w:abstractNumId w:val="2"/>
  </w:num>
  <w:num w:numId="38" w16cid:durableId="1449280667">
    <w:abstractNumId w:val="35"/>
  </w:num>
  <w:num w:numId="39" w16cid:durableId="1391340709">
    <w:abstractNumId w:val="37"/>
  </w:num>
  <w:num w:numId="40" w16cid:durableId="1783646356">
    <w:abstractNumId w:val="27"/>
  </w:num>
  <w:num w:numId="41" w16cid:durableId="306251037">
    <w:abstractNumId w:val="10"/>
  </w:num>
  <w:num w:numId="42" w16cid:durableId="2080521972">
    <w:abstractNumId w:val="30"/>
  </w:num>
  <w:num w:numId="43" w16cid:durableId="1430929524">
    <w:abstractNumId w:val="20"/>
  </w:num>
  <w:num w:numId="44" w16cid:durableId="677684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C00FA"/>
    <w:rsid w:val="000C51AA"/>
    <w:rsid w:val="000D17BC"/>
    <w:rsid w:val="000D2186"/>
    <w:rsid w:val="000E09FC"/>
    <w:rsid w:val="000E4F35"/>
    <w:rsid w:val="000F4A35"/>
    <w:rsid w:val="000F6C1C"/>
    <w:rsid w:val="001132E2"/>
    <w:rsid w:val="00116F4B"/>
    <w:rsid w:val="00120A5D"/>
    <w:rsid w:val="001229F4"/>
    <w:rsid w:val="00133CC2"/>
    <w:rsid w:val="00136E91"/>
    <w:rsid w:val="00137471"/>
    <w:rsid w:val="00137DF6"/>
    <w:rsid w:val="00140C23"/>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C6187"/>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5B0"/>
    <w:rsid w:val="003F1B9F"/>
    <w:rsid w:val="004004C3"/>
    <w:rsid w:val="0040091C"/>
    <w:rsid w:val="00400BAF"/>
    <w:rsid w:val="00406D7A"/>
    <w:rsid w:val="00407999"/>
    <w:rsid w:val="00410C78"/>
    <w:rsid w:val="004121B8"/>
    <w:rsid w:val="004211AE"/>
    <w:rsid w:val="004258BA"/>
    <w:rsid w:val="00426CE1"/>
    <w:rsid w:val="004343F0"/>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E1D58"/>
    <w:rsid w:val="005E382F"/>
    <w:rsid w:val="005E7FBA"/>
    <w:rsid w:val="00600DC9"/>
    <w:rsid w:val="0061050F"/>
    <w:rsid w:val="006105C5"/>
    <w:rsid w:val="00610E37"/>
    <w:rsid w:val="006207ED"/>
    <w:rsid w:val="00626BC9"/>
    <w:rsid w:val="006320D2"/>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46081"/>
    <w:rsid w:val="0095025E"/>
    <w:rsid w:val="00955C4C"/>
    <w:rsid w:val="00961100"/>
    <w:rsid w:val="0097342C"/>
    <w:rsid w:val="009867B3"/>
    <w:rsid w:val="00995338"/>
    <w:rsid w:val="00996777"/>
    <w:rsid w:val="009B6A8F"/>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06F"/>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608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1934</TotalTime>
  <Pages>4</Pages>
  <Words>967</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117</cp:revision>
  <dcterms:created xsi:type="dcterms:W3CDTF">2021-11-23T02:45:00Z</dcterms:created>
  <dcterms:modified xsi:type="dcterms:W3CDTF">2024-03-08T07:42:00Z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